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4008FE">
        <w:rPr>
          <w:sz w:val="28"/>
          <w:szCs w:val="28"/>
        </w:rPr>
        <w:t>10</w:t>
      </w:r>
      <w:r w:rsidR="004907C1">
        <w:rPr>
          <w:sz w:val="28"/>
          <w:szCs w:val="28"/>
        </w:rPr>
        <w:t>-КО-</w:t>
      </w:r>
      <w:r w:rsidR="008B2BBC">
        <w:rPr>
          <w:sz w:val="28"/>
          <w:szCs w:val="28"/>
        </w:rPr>
        <w:t>18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отсутствии решения А</w:t>
            </w:r>
            <w:r w:rsidRPr="00801BC6">
              <w:rPr>
                <w:sz w:val="28"/>
                <w:szCs w:val="28"/>
              </w:rPr>
              <w:t xml:space="preserve">рбитражного суда о признании </w:t>
            </w:r>
            <w:r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08FE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A321D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30</cp:revision>
  <cp:lastPrinted>2018-03-29T09:21:00Z</cp:lastPrinted>
  <dcterms:created xsi:type="dcterms:W3CDTF">2013-05-16T08:21:00Z</dcterms:created>
  <dcterms:modified xsi:type="dcterms:W3CDTF">2018-06-22T13:49:00Z</dcterms:modified>
</cp:coreProperties>
</file>